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A115F" w:rsidRDefault="00554053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JUDUL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ARTIKEL (font times new roman 12pt, tegak, normal, bold, UPPERCASE)</w:t>
      </w:r>
    </w:p>
    <w:p w14:paraId="00000002" w14:textId="77777777" w:rsidR="00BA115F" w:rsidRDefault="00554053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Nama Penulis (12 pt, tebal, tegak)</w:t>
      </w:r>
    </w:p>
    <w:p w14:paraId="00000003" w14:textId="77777777" w:rsidR="00BA115F" w:rsidRDefault="00554053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Perguruan Tinggi, kota perguruan tinggi</w:t>
      </w:r>
    </w:p>
    <w:p w14:paraId="00000004" w14:textId="77777777" w:rsidR="00BA115F" w:rsidRDefault="00554053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Hp. …. (Agar lebih mudah komunikasi, tidk akan ditampilkan diartikel jika publish)</w:t>
      </w:r>
    </w:p>
    <w:p w14:paraId="00000005" w14:textId="77777777" w:rsidR="00BA115F" w:rsidRDefault="00BA115F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BA115F" w:rsidRDefault="00BA115F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BA115F" w:rsidRDefault="00554053">
      <w:pPr>
        <w:spacing w:before="120"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Abstrak</w:t>
      </w:r>
    </w:p>
    <w:p w14:paraId="00000008" w14:textId="77777777" w:rsidR="00BA115F" w:rsidRDefault="00554053">
      <w:p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Abstrak dibuat dalam 2 versi, bahasa Inggris dan bahasa Indonesia. Abstrak bertujuan untuk memberikan informasi kepada pembaca mengenai isi artikel yang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erisi tujuan penelitian, metode penelitian, temuan, dan </w:t>
      </w:r>
      <w:r>
        <w:rPr>
          <w:rFonts w:ascii="Times New Roman" w:eastAsia="Times New Roman" w:hAnsi="Times New Roman" w:cs="Times New Roman"/>
          <w:sz w:val="24"/>
          <w:szCs w:val="24"/>
        </w:rPr>
        <w:t>implikasi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Abstrak disusun dalam satu kalimat paragraf utuh yang terdiri dari maksimal 350 kata.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Font times new roman, 12pt, italic, 1 paragraf versi bahasa Inggris,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times new roman, 12pt, normal, 1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aragraf, 1 line spasing)</w:t>
      </w:r>
    </w:p>
    <w:p w14:paraId="00000009" w14:textId="77777777" w:rsidR="00BA115F" w:rsidRDefault="00554053">
      <w:p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Kata kunci: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pendidikan, model, pembelajaran, kurikulum, pesantren</w:t>
      </w:r>
    </w:p>
    <w:p w14:paraId="0000000A" w14:textId="77777777" w:rsidR="00BA115F" w:rsidRDefault="00554053">
      <w:p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Kata kunci maksimal lima kata atau frasa dan dipisahkan oleh koma (,) untuk setiap kata</w:t>
      </w:r>
    </w:p>
    <w:p w14:paraId="0000000B" w14:textId="77777777" w:rsidR="00BA115F" w:rsidRDefault="00BA115F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BA115F" w:rsidRDefault="00554053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Struktur Artikel / Structure of article:</w:t>
      </w:r>
    </w:p>
    <w:p w14:paraId="0000000D" w14:textId="77777777" w:rsidR="00BA115F" w:rsidRDefault="00554053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JUDUL / TITLE</w:t>
      </w:r>
    </w:p>
    <w:p w14:paraId="0000000E" w14:textId="77777777" w:rsidR="00BA115F" w:rsidRDefault="00554053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Nama  Penulis / name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 author</w:t>
      </w:r>
    </w:p>
    <w:p w14:paraId="0000000F" w14:textId="77777777" w:rsidR="00BA115F" w:rsidRDefault="00554053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Afiliasi dan alamat Penulis / Affiliates and Author addresses</w:t>
      </w:r>
    </w:p>
    <w:p w14:paraId="00000010" w14:textId="77777777" w:rsidR="00BA115F" w:rsidRDefault="00554053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Abstract/ English</w:t>
      </w:r>
    </w:p>
    <w:p w14:paraId="00000011" w14:textId="77777777" w:rsidR="00BA115F" w:rsidRDefault="00554053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Abstrak/ Indonesia</w:t>
      </w:r>
    </w:p>
    <w:p w14:paraId="00000012" w14:textId="77777777" w:rsidR="00BA115F" w:rsidRDefault="00554053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Kata kunci / Keywords</w:t>
      </w:r>
    </w:p>
    <w:p w14:paraId="00000013" w14:textId="77777777" w:rsidR="00BA115F" w:rsidRDefault="00554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PENDAHULUAN 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INTRODUCTION</w:t>
      </w:r>
    </w:p>
    <w:p w14:paraId="00000014" w14:textId="77777777" w:rsidR="00BA115F" w:rsidRDefault="00554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HASIL DAN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PEMBAHASAN /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RESULTS AND DISCUSSION</w:t>
      </w:r>
    </w:p>
    <w:p w14:paraId="00000015" w14:textId="77777777" w:rsidR="00BA115F" w:rsidRDefault="00554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PENUTUP / CLOSING</w:t>
      </w:r>
    </w:p>
    <w:p w14:paraId="00000016" w14:textId="77777777" w:rsidR="00BA115F" w:rsidRDefault="00554053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UCAPAN TERIMA KASIH /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ACKNOWLEDGMENTS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(Opsional)</w:t>
      </w:r>
    </w:p>
    <w:p w14:paraId="00000017" w14:textId="77777777" w:rsidR="00BA115F" w:rsidRDefault="00554053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DAFTAR PUSTAKA /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BIBLIOGRAPHY</w:t>
      </w:r>
    </w:p>
    <w:p w14:paraId="00000018" w14:textId="77777777" w:rsidR="00BA115F" w:rsidRDefault="00BA115F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BA115F" w:rsidRDefault="00554053">
      <w:pPr>
        <w:tabs>
          <w:tab w:val="left" w:pos="7757"/>
        </w:tabs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A" w14:textId="77777777" w:rsidR="00BA115F" w:rsidRDefault="00BA115F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BA115F" w:rsidRDefault="00BA115F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3D3863AB" w14:textId="77777777" w:rsidR="00BA115F" w:rsidRDefault="00BA115F">
      <w:pPr>
        <w:tabs>
          <w:tab w:val="left" w:pos="7243"/>
        </w:tabs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9021F8D" w14:textId="77777777" w:rsidR="00D45A2B" w:rsidRPr="00D45A2B" w:rsidRDefault="00D45A2B" w:rsidP="00D45A2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3181239D" w:rsidR="00D45A2B" w:rsidRPr="00D45A2B" w:rsidRDefault="00D45A2B" w:rsidP="00D45A2B">
      <w:pPr>
        <w:tabs>
          <w:tab w:val="center" w:pos="4961"/>
        </w:tabs>
        <w:rPr>
          <w:rFonts w:ascii="Times New Roman" w:eastAsia="Times New Roman" w:hAnsi="Times New Roman" w:cs="Times New Roman"/>
          <w:sz w:val="24"/>
          <w:szCs w:val="24"/>
        </w:rPr>
        <w:sectPr w:rsidR="00D45A2B" w:rsidRPr="00D45A2B">
          <w:headerReference w:type="default" r:id="rId9"/>
          <w:footerReference w:type="even" r:id="rId10"/>
          <w:footerReference w:type="default" r:id="rId11"/>
          <w:pgSz w:w="11907" w:h="16840"/>
          <w:pgMar w:top="1701" w:right="1134" w:bottom="1701" w:left="1418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D" w14:textId="77777777" w:rsidR="00BA115F" w:rsidRDefault="005540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PENDAHULUAN (1.5 line spacing)</w:t>
      </w:r>
    </w:p>
    <w:p w14:paraId="0000001E" w14:textId="77777777" w:rsidR="00BA115F" w:rsidRDefault="00554053">
      <w:p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Pendahuluan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berisi latar belakang masalah yang mendasari penelitian, mencakup latar belakang secara umum,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kesenjangan masalah, riset pendahuluan, perbedaan-perbedaan, pentingnya penelitian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berupa alasan-alasan mendasar dalam pertanyaan penelitian. Kajian kepustakaan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dicantumkan pada pendahuluan. Pertanyaan penelitian dimasukkan dalam pendahuluan, termasuk metodologi penelitian yang digunakan guna memberikan uraian yang jelas tentang bagaimana proses penelitian itu dilakukan.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font times new roman 12pt,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 line spacin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g)</w:t>
      </w:r>
    </w:p>
    <w:p w14:paraId="66736E2A" w14:textId="60D881F9" w:rsidR="00397CF0" w:rsidRPr="00397CF0" w:rsidRDefault="00397C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METODE PENELITIAN</w:t>
      </w:r>
    </w:p>
    <w:p w14:paraId="10C1A986" w14:textId="77777777" w:rsidR="00397CF0" w:rsidRPr="00397CF0" w:rsidRDefault="00397CF0" w:rsidP="00397CF0">
      <w:pPr>
        <w:spacing w:after="0" w:line="360" w:lineRule="auto"/>
        <w:ind w:left="0" w:firstLine="567"/>
        <w:jc w:val="both"/>
        <w:rPr>
          <w:rFonts w:ascii="Cambria" w:hAnsi="Cambria"/>
          <w:sz w:val="24"/>
          <w:szCs w:val="24"/>
          <w:lang w:val="en-US"/>
        </w:rPr>
      </w:pPr>
      <w:r w:rsidRPr="00397CF0">
        <w:rPr>
          <w:rFonts w:ascii="Cambria" w:hAnsi="Cambria"/>
          <w:sz w:val="24"/>
          <w:szCs w:val="24"/>
        </w:rPr>
        <w:t xml:space="preserve">Bagian ini menjelaskan secara ringkas mengenai materi dan metode yang digunakan dalam penelitian, meliputi subjek/ objek penelitian, alat yang digunakan, rancangan percobaan atau desain yang digunakan, teknik pengambilan sampel, variabel yang akan diukur, teknik pengambilan data, analisis dan model statistic yang digunakan. Pengutipan menggunakan </w:t>
      </w:r>
      <w:r w:rsidRPr="00397CF0">
        <w:rPr>
          <w:rFonts w:ascii="Cambria" w:hAnsi="Cambria"/>
          <w:i/>
          <w:iCs/>
          <w:sz w:val="24"/>
          <w:szCs w:val="24"/>
        </w:rPr>
        <w:t>body-notes</w:t>
      </w:r>
      <w:r w:rsidRPr="00397CF0">
        <w:rPr>
          <w:rFonts w:ascii="Cambria" w:hAnsi="Cambria"/>
          <w:sz w:val="24"/>
          <w:szCs w:val="24"/>
        </w:rPr>
        <w:t xml:space="preserve">. Manuskrip ditulis dengan kerapatan </w:t>
      </w:r>
      <w:r w:rsidRPr="00397CF0">
        <w:rPr>
          <w:rFonts w:ascii="Cambria" w:hAnsi="Cambria"/>
          <w:sz w:val="24"/>
          <w:szCs w:val="24"/>
          <w:lang w:val="en-US"/>
        </w:rPr>
        <w:t>1,0</w:t>
      </w:r>
      <w:r w:rsidRPr="00397CF0">
        <w:rPr>
          <w:rFonts w:ascii="Cambria" w:hAnsi="Cambria"/>
          <w:sz w:val="24"/>
          <w:szCs w:val="24"/>
        </w:rPr>
        <w:t xml:space="preserve"> spasi, huruf </w:t>
      </w:r>
      <w:r w:rsidRPr="00397CF0">
        <w:rPr>
          <w:rFonts w:ascii="Cambria" w:hAnsi="Cambria"/>
          <w:bCs/>
          <w:sz w:val="24"/>
          <w:szCs w:val="24"/>
          <w:lang w:val="en-US"/>
        </w:rPr>
        <w:t>Cambria</w:t>
      </w:r>
      <w:r w:rsidRPr="00397CF0">
        <w:rPr>
          <w:rFonts w:ascii="Cambria" w:hAnsi="Cambria"/>
          <w:sz w:val="24"/>
          <w:szCs w:val="24"/>
        </w:rPr>
        <w:t xml:space="preserve"> 12</w:t>
      </w:r>
      <w:r w:rsidRPr="00397CF0">
        <w:rPr>
          <w:rFonts w:ascii="Cambria" w:hAnsi="Cambria"/>
          <w:sz w:val="24"/>
          <w:szCs w:val="24"/>
          <w:lang w:val="en-US"/>
        </w:rPr>
        <w:t>.</w:t>
      </w:r>
    </w:p>
    <w:p w14:paraId="70913073" w14:textId="77777777" w:rsidR="00397CF0" w:rsidRPr="00397CF0" w:rsidRDefault="00397CF0" w:rsidP="00397CF0">
      <w:pPr>
        <w:spacing w:after="0" w:line="360" w:lineRule="auto"/>
        <w:ind w:left="0" w:firstLine="567"/>
        <w:jc w:val="both"/>
        <w:rPr>
          <w:rFonts w:ascii="Cambria" w:hAnsi="Cambria"/>
          <w:sz w:val="24"/>
          <w:szCs w:val="24"/>
          <w:lang w:val="en-US"/>
        </w:rPr>
      </w:pPr>
      <w:r w:rsidRPr="00397CF0">
        <w:rPr>
          <w:rFonts w:ascii="Cambria" w:hAnsi="Cambria"/>
          <w:sz w:val="24"/>
          <w:szCs w:val="24"/>
        </w:rPr>
        <w:t>Untuk penelitian kualitatif seperti</w:t>
      </w:r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r w:rsidRPr="00397CF0">
        <w:rPr>
          <w:rFonts w:ascii="Cambria" w:hAnsi="Cambria"/>
          <w:sz w:val="24"/>
          <w:szCs w:val="24"/>
        </w:rPr>
        <w:t>penelitian tindakan kelas, etnografi,</w:t>
      </w:r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r w:rsidRPr="00397CF0">
        <w:rPr>
          <w:rFonts w:ascii="Cambria" w:hAnsi="Cambria"/>
          <w:sz w:val="24"/>
          <w:szCs w:val="24"/>
        </w:rPr>
        <w:t>fenomenologi, studi kasus, dan lain-lain, perlu</w:t>
      </w:r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r w:rsidRPr="00397CF0">
        <w:rPr>
          <w:rFonts w:ascii="Cambria" w:hAnsi="Cambria"/>
          <w:sz w:val="24"/>
          <w:szCs w:val="24"/>
        </w:rPr>
        <w:t>ditambahkan kehadiran peneliti, subyek</w:t>
      </w:r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r w:rsidRPr="00397CF0">
        <w:rPr>
          <w:rFonts w:ascii="Cambria" w:hAnsi="Cambria"/>
          <w:sz w:val="24"/>
          <w:szCs w:val="24"/>
        </w:rPr>
        <w:t>penelitian, informan yang ikut membantu</w:t>
      </w:r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r w:rsidRPr="00397CF0">
        <w:rPr>
          <w:rFonts w:ascii="Cambria" w:hAnsi="Cambria"/>
          <w:sz w:val="24"/>
          <w:szCs w:val="24"/>
        </w:rPr>
        <w:t>beserta cara-cara menggali data-data penelitian,</w:t>
      </w:r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r w:rsidRPr="00397CF0">
        <w:rPr>
          <w:rFonts w:ascii="Cambria" w:hAnsi="Cambria"/>
          <w:sz w:val="24"/>
          <w:szCs w:val="24"/>
        </w:rPr>
        <w:t>lokasi dan lama penelitian serta uraian</w:t>
      </w:r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r w:rsidRPr="00397CF0">
        <w:rPr>
          <w:rFonts w:ascii="Cambria" w:hAnsi="Cambria"/>
          <w:sz w:val="24"/>
          <w:szCs w:val="24"/>
        </w:rPr>
        <w:t>mengenai pengecekan keabsahan hasil</w:t>
      </w:r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r w:rsidRPr="00397CF0">
        <w:rPr>
          <w:rFonts w:ascii="Cambria" w:hAnsi="Cambria"/>
          <w:sz w:val="24"/>
          <w:szCs w:val="24"/>
        </w:rPr>
        <w:t>penelitian.</w:t>
      </w:r>
      <w:r w:rsidRPr="00397CF0">
        <w:rPr>
          <w:rFonts w:ascii="Cambria" w:hAnsi="Cambria"/>
          <w:sz w:val="24"/>
          <w:szCs w:val="24"/>
          <w:lang w:val="en-US"/>
        </w:rPr>
        <w:t xml:space="preserve"> </w:t>
      </w:r>
    </w:p>
    <w:p w14:paraId="0CFCA384" w14:textId="77777777" w:rsidR="00397CF0" w:rsidRPr="00397CF0" w:rsidRDefault="00397CF0" w:rsidP="00397CF0">
      <w:pPr>
        <w:spacing w:after="0" w:line="360" w:lineRule="auto"/>
        <w:ind w:left="0" w:firstLine="567"/>
        <w:jc w:val="both"/>
        <w:rPr>
          <w:rFonts w:ascii="Cambria" w:hAnsi="Cambria"/>
          <w:sz w:val="24"/>
          <w:szCs w:val="24"/>
          <w:lang w:val="en-US"/>
        </w:rPr>
      </w:pPr>
      <w:r w:rsidRPr="00397CF0">
        <w:rPr>
          <w:rFonts w:ascii="Cambria" w:hAnsi="Cambria"/>
          <w:sz w:val="24"/>
          <w:szCs w:val="24"/>
          <w:lang w:val="en-US"/>
        </w:rPr>
        <w:t xml:space="preserve">Alat yang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digunakan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dalam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</w:rPr>
        <w:t>penelitian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juga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perlu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dijelaskan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dengan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detail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baik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spesifikasi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maupun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kecanggihan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397CF0">
        <w:rPr>
          <w:rFonts w:ascii="Cambria" w:hAnsi="Cambria"/>
          <w:sz w:val="24"/>
          <w:szCs w:val="24"/>
          <w:lang w:val="en-US"/>
        </w:rPr>
        <w:t>alatnya.Penjelasan</w:t>
      </w:r>
      <w:proofErr w:type="spellEnd"/>
      <w:proofErr w:type="gram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metode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perlu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dibuat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ringkas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dan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sistematis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tanpa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adanya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anak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Metode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perlu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dikuatkan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dengan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referensi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sehingga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pengambilan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metode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97CF0">
        <w:rPr>
          <w:rFonts w:ascii="Cambria" w:hAnsi="Cambria"/>
          <w:sz w:val="24"/>
          <w:szCs w:val="24"/>
          <w:lang w:val="en-US"/>
        </w:rPr>
        <w:t>tepat</w:t>
      </w:r>
      <w:proofErr w:type="spellEnd"/>
      <w:r w:rsidRPr="00397CF0">
        <w:rPr>
          <w:rFonts w:ascii="Cambria" w:hAnsi="Cambria"/>
          <w:sz w:val="24"/>
          <w:szCs w:val="24"/>
          <w:lang w:val="en-US"/>
        </w:rPr>
        <w:t>.</w:t>
      </w:r>
    </w:p>
    <w:p w14:paraId="6CFF147B" w14:textId="77777777" w:rsidR="00397CF0" w:rsidRPr="00397CF0" w:rsidRDefault="00397CF0" w:rsidP="00397C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F" w14:textId="2C9EE2E6" w:rsidR="00BA115F" w:rsidRDefault="005540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HASIL DAN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PEMBAHASAN (1.5 line spacing)</w:t>
      </w:r>
    </w:p>
    <w:p w14:paraId="00000020" w14:textId="77777777" w:rsidR="00BA115F" w:rsidRDefault="00554053">
      <w:p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 hasil dan pembahasan berisi hasil dan temuan penelitian, diskusi, deskripsi, uraian analisis penelitian. Temuan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-temuan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yang diperoleh dari hasil penelitian yang dilakukan, harus ditulis berdasarkan analisis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 dan data-data yang menguraikan fakta-fakta yang menuju kepada hasil penelitian. Hasil dan temuan penelitian memberikan penjelasan atas pertanyaan penelitian. Pada bagian ini, jumlah dan susunannya disesuaikan dengan kebutuhan yang diperlukan</w:t>
      </w:r>
      <w:r>
        <w:rPr>
          <w:rFonts w:ascii="Times New Roman" w:eastAsia="Times New Roman" w:hAnsi="Times New Roman" w:cs="Times New Roman"/>
          <w:sz w:val="24"/>
          <w:szCs w:val="24"/>
        </w:rPr>
        <w:t>, sesua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dengan jenis penelitian (kuantitatif/kualitatif)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guna memberikan deskripsi dan uraian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yang lengkap dan jelas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font times new roman 12pt,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 line spacing)</w:t>
      </w:r>
    </w:p>
    <w:p w14:paraId="00000021" w14:textId="77777777" w:rsidR="00BA115F" w:rsidRDefault="005540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KESIMPULAN (1.5 line spacing)</w:t>
      </w:r>
    </w:p>
    <w:p w14:paraId="00000022" w14:textId="77777777" w:rsidR="00BA115F" w:rsidRDefault="00554053">
      <w:p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 merupakan jawaban dari permasalahan penelitian, bukan 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 sekedar ringkasan. Kesimpulan atau pernyataan penutup yang mengandung ringkasan dan saran. Ringkasan itu harus merujuk pertanyaan penelitian, hipotesis penelitian (kuantitatif), tujuan penelitian, dan juga temuan-temuan yang diperoleh, serta bukan seked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pernyataan pengulangan hasil penelitian.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enulis memaparkan implikasi dan saran-saran yang menyajikan hal-hal yang nantinya akan dilakukan untuk penelitian selanjutnya.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font times new roman 12pt,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 line spacing)</w:t>
      </w:r>
    </w:p>
    <w:p w14:paraId="00000023" w14:textId="77777777" w:rsidR="00BA115F" w:rsidRDefault="00554053">
      <w:p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DAFTAR PUSTAKA</w:t>
      </w:r>
    </w:p>
    <w:p w14:paraId="00000024" w14:textId="77777777" w:rsidR="00BA115F" w:rsidRDefault="00554053">
      <w:p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 referensi yang 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kutip dalam naskah/teks artikel harus ditulis pada bagian daftar pustaka. Daftar pustaka mencakup referensi yang diperoleh dari sumber terpercaya yang terdiri dari buku-buku, jurnal, artikel, laporan penelitian, dan sumber lain.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(font times new roman 12pt,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 line spacing)</w:t>
      </w:r>
    </w:p>
    <w:p w14:paraId="00000025" w14:textId="77777777" w:rsidR="00BA115F" w:rsidRDefault="00BA115F">
      <w:p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BA115F" w:rsidRDefault="00BA115F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BA115F" w:rsidRDefault="00BA115F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77777777" w:rsidR="00BA115F" w:rsidRDefault="00554053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FOTENOTE</w:t>
      </w:r>
    </w:p>
    <w:p w14:paraId="00000029" w14:textId="77777777" w:rsidR="00BA115F" w:rsidRDefault="00554053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(font times new roman 10pt, 1 line spacing)/Nama tidak dibalik, tanpa gelar.</w:t>
      </w:r>
    </w:p>
    <w:p w14:paraId="0000002A" w14:textId="77777777" w:rsidR="00BA115F" w:rsidRDefault="00554053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McKenzie J. A,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Power learning in the classroom</w:t>
      </w:r>
      <w:sdt>
        <w:sdtPr>
          <w:tag w:val="goog_rdk_0"/>
          <w:id w:val="153498597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(California: Corwin Press, Inc, 1993), hlm. 93.  ← Buku</w:t>
          </w:r>
        </w:sdtContent>
      </w:sdt>
    </w:p>
    <w:p w14:paraId="0000002B" w14:textId="77777777" w:rsidR="00BA115F" w:rsidRDefault="00554053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Yu, Tian, S. W., Vogel, D., &amp; Chi-Wai Kwok, R. Can learning be virtually boosted? An investigation of online social networking impacts.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Computers &amp; Education </w:t>
      </w:r>
      <w:sdt>
        <w:sdtPr>
          <w:tag w:val="goog_rdk_1"/>
          <w:id w:val="675545611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 xml:space="preserve">55(4), (2010), hlm. 1494-1503. ← </w:t>
          </w:r>
          <w:r>
            <w:rPr>
              <w:rFonts w:ascii="Cardo" w:eastAsia="Cardo" w:hAnsi="Cardo" w:cs="Cardo"/>
              <w:color w:val="000000"/>
              <w:sz w:val="24"/>
              <w:szCs w:val="24"/>
            </w:rPr>
            <w:t>Journal</w:t>
          </w:r>
        </w:sdtContent>
      </w:sdt>
    </w:p>
    <w:p w14:paraId="0000002C" w14:textId="77777777" w:rsidR="00BA115F" w:rsidRDefault="00554053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Bhavsar, Saraf, K.B. Morphology of PbI2 Crystals Grown by Gel Method.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Crystal Research and Technology</w:t>
      </w:r>
      <w:sdt>
        <w:sdtPr>
          <w:tag w:val="goog_rdk_2"/>
          <w:id w:val="-1315171783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37: (2002), hlm. 51–55 ←Journal</w:t>
          </w:r>
        </w:sdtContent>
      </w:sdt>
    </w:p>
    <w:p w14:paraId="0000002D" w14:textId="77777777" w:rsidR="00BA115F" w:rsidRDefault="00554053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D.W. Hasling, W.J. Clancey, W.J. Rennels.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Strategic Explanations in Consultation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International Jour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nal of Man-Machine Studies</w:t>
      </w:r>
      <w:sdt>
        <w:sdtPr>
          <w:tag w:val="goog_rdk_3"/>
          <w:id w:val="1867021821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20(1): (1983), hlm. 3-19. ←Journal</w:t>
          </w:r>
        </w:sdtContent>
      </w:sdt>
    </w:p>
    <w:p w14:paraId="0000002E" w14:textId="77777777" w:rsidR="00BA115F" w:rsidRDefault="00554053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W.J. Clancey.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Communication, Simulation, and Intelligent Agents: Implications of Personal Intelligent Machines for Medical Education.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Proceedings of the Eighth International Joint Conferen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ce on Artificial Intelligence</w:t>
      </w:r>
      <w:sdt>
        <w:sdtPr>
          <w:tag w:val="goog_rdk_4"/>
          <w:id w:val="-1394649929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(2011), 556-560. Menlo Park, Calif.: International Joint Conferences on Artificial Intelligence, Inc. ←Prosiding Seminar.</w:t>
          </w:r>
        </w:sdtContent>
      </w:sdt>
    </w:p>
    <w:p w14:paraId="0000002F" w14:textId="77777777" w:rsidR="00BA115F" w:rsidRDefault="00554053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Rice. Polygon: A System for Parallel Problem Solving,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Technical Report</w:t>
      </w:r>
      <w:sdt>
        <w:sdtPr>
          <w:tag w:val="goog_rdk_5"/>
          <w:id w:val="1186025310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KSL-86-19, Dept. of Comput</w:t>
          </w:r>
          <w:r>
            <w:rPr>
              <w:rFonts w:ascii="Cardo" w:eastAsia="Cardo" w:hAnsi="Cardo" w:cs="Cardo"/>
              <w:color w:val="000000"/>
              <w:sz w:val="24"/>
              <w:szCs w:val="24"/>
            </w:rPr>
            <w:t>er Science, Stanford Univ. 2014, hlm. 9. ←Laporan penelitian</w:t>
          </w:r>
        </w:sdtContent>
      </w:sdt>
    </w:p>
    <w:p w14:paraId="00000030" w14:textId="77777777" w:rsidR="00BA115F" w:rsidRDefault="00554053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W.J. Clancey. 2013. Transfer of Rule-Based Expertise through a Tutorial Dialogue.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Ph.D. Dissertation</w:t>
      </w:r>
      <w:sdt>
        <w:sdtPr>
          <w:tag w:val="goog_rdk_6"/>
          <w:id w:val="715390822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Department of Computer Science, Stanford University. hlm. 20. ←Thesis dan Disertasi</w:t>
          </w:r>
        </w:sdtContent>
      </w:sdt>
    </w:p>
    <w:p w14:paraId="00000031" w14:textId="77777777" w:rsidR="00BA115F" w:rsidRDefault="00554053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K.C. Ivey. 2012.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Citing Internet sources</w:t>
      </w:r>
      <w:sdt>
        <w:sdtPr>
          <w:tag w:val="goog_rdk_7"/>
          <w:id w:val="1327475312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 xml:space="preserve"> URL http://www.eei- alex.com/eye/utw/96aug.html, dikutip pada tanggal bulan tahun. ←Website</w:t>
          </w:r>
        </w:sdtContent>
      </w:sdt>
    </w:p>
    <w:p w14:paraId="00000032" w14:textId="77777777" w:rsidR="00BA115F" w:rsidRDefault="00BA115F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BA115F" w:rsidRDefault="00BA115F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BA115F" w:rsidRDefault="00BA115F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BA115F" w:rsidRDefault="00554053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DAFTAR PUSTAKA</w:t>
      </w:r>
    </w:p>
    <w:p w14:paraId="00000036" w14:textId="77777777" w:rsidR="00BA115F" w:rsidRDefault="00554053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(font times new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roman 12pt, 1.5 line spacing)/Nama dibalik dipisah dengan koma, tanpa gelar, tanpa halaman.</w:t>
      </w:r>
    </w:p>
    <w:p w14:paraId="00000037" w14:textId="77777777" w:rsidR="00BA115F" w:rsidRDefault="0055405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McKenzie J. A. 1993.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Power learning in the classroom</w:t>
      </w:r>
      <w:sdt>
        <w:sdtPr>
          <w:tag w:val="goog_rdk_8"/>
          <w:id w:val="-235708751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. California: Corwin Press, Inc.  ← Buku</w:t>
          </w:r>
        </w:sdtContent>
      </w:sdt>
    </w:p>
    <w:p w14:paraId="00000038" w14:textId="77777777" w:rsidR="00BA115F" w:rsidRDefault="0055405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Yu, A. Y., Tian, S. W., Vogel, D., &amp; Chi-Wai Kwok, R. (2010). Can learning be virtually boosted? An investigation of online social networking impacts.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Computers &amp; Education </w:t>
      </w:r>
      <w:sdt>
        <w:sdtPr>
          <w:tag w:val="goog_rdk_9"/>
          <w:id w:val="-106584358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55(4):1494-1503. ← Journal</w:t>
          </w:r>
        </w:sdtContent>
      </w:sdt>
    </w:p>
    <w:p w14:paraId="00000039" w14:textId="77777777" w:rsidR="00BA115F" w:rsidRDefault="0055405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Bhavsar, D.S., Saraf, K.B. 2002. Morphology of PbI2 Cr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ystals Grown by Gel Method.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Crystal Research and Technology</w:t>
      </w:r>
      <w:sdt>
        <w:sdtPr>
          <w:tag w:val="goog_rdk_10"/>
          <w:id w:val="1496765067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37: 51–55 ←Journal</w:t>
          </w:r>
        </w:sdtContent>
      </w:sdt>
    </w:p>
    <w:p w14:paraId="0000003A" w14:textId="77777777" w:rsidR="00BA115F" w:rsidRDefault="0055405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Hasling, D.W., Clancey, W.J., Rennels, G.R. 1983. Strategic Explanations in Consultation.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International Journal of Man-Machine Studies</w:t>
      </w:r>
      <w:sdt>
        <w:sdtPr>
          <w:tag w:val="goog_rdk_11"/>
          <w:id w:val="-2139251392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20(1): 3-19. ←Journal</w:t>
          </w:r>
        </w:sdtContent>
      </w:sdt>
    </w:p>
    <w:p w14:paraId="0000003B" w14:textId="77777777" w:rsidR="00BA115F" w:rsidRDefault="0055405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Clancey,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.J. 2011. Communication, Simulation, and Intelligent Agents: Implications of Personal Intelligent Machines for Medical Education. In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Proceedings of the Eighth International Joint Conference on Artificial Intelligence</w:t>
      </w:r>
      <w:sdt>
        <w:sdtPr>
          <w:tag w:val="goog_rdk_12"/>
          <w:id w:val="250169459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556-560. Menlo Park, Calif.: Internati</w:t>
          </w:r>
          <w:r>
            <w:rPr>
              <w:rFonts w:ascii="Cardo" w:eastAsia="Cardo" w:hAnsi="Cardo" w:cs="Cardo"/>
              <w:color w:val="000000"/>
              <w:sz w:val="24"/>
              <w:szCs w:val="24"/>
            </w:rPr>
            <w:t>onal Joint Conferences on Artificial Intelligence, Inc. ←Prosiding Seminar.</w:t>
          </w:r>
        </w:sdtContent>
      </w:sdt>
    </w:p>
    <w:p w14:paraId="0000003C" w14:textId="77777777" w:rsidR="00BA115F" w:rsidRDefault="0055405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Rice, J. 2014. Polygon: A System for Parallel Problem Solving,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Technical Report</w:t>
      </w:r>
      <w:sdt>
        <w:sdtPr>
          <w:tag w:val="goog_rdk_13"/>
          <w:id w:val="-1235156215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KSL-86-19, Dept. of Computer Science, Stanford Univ. ←Laporan penelitian</w:t>
          </w:r>
        </w:sdtContent>
      </w:sdt>
    </w:p>
    <w:p w14:paraId="0000003D" w14:textId="77777777" w:rsidR="00BA115F" w:rsidRDefault="0055405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Clancey, W.J. 2013. Transfer of Rule-Based Expertise through a Tutorial Dialogue.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Ph.D. Dissertation</w:t>
      </w:r>
      <w:sdt>
        <w:sdtPr>
          <w:tag w:val="goog_rdk_14"/>
          <w:id w:val="-1395589750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>, Department of Computer Science, Stanford University. ←Thesis dan Disertasi</w:t>
          </w:r>
        </w:sdtContent>
      </w:sdt>
    </w:p>
    <w:p w14:paraId="0DCE7281" w14:textId="77777777" w:rsidR="00A54160" w:rsidRDefault="00A54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54160" w:rsidSect="00A54160">
          <w:pgSz w:w="11907" w:h="16840"/>
          <w:pgMar w:top="1701" w:right="1134" w:bottom="1701" w:left="1418" w:header="720" w:footer="720" w:gutter="0"/>
          <w:pgNumType w:start="2"/>
          <w:cols w:space="720"/>
        </w:sectPr>
      </w:pPr>
    </w:p>
    <w:p w14:paraId="0000003E" w14:textId="43D2ECAD" w:rsidR="00BA115F" w:rsidRDefault="00554053" w:rsidP="00A54160">
      <w:pPr>
        <w:shd w:val="clear" w:color="auto" w:fill="FFFFFF"/>
        <w:spacing w:after="0" w:line="240" w:lineRule="auto"/>
        <w:ind w:left="720" w:right="-5043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Ivey, K.C. (2 September 2012).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Citing Internet sources</w:t>
      </w:r>
      <w:sdt>
        <w:sdtPr>
          <w:tag w:val="goog_rdk_15"/>
          <w:id w:val="194280285"/>
        </w:sdtPr>
        <w:sdtEndPr/>
        <w:sdtContent>
          <w:r>
            <w:rPr>
              <w:rFonts w:ascii="Cardo" w:eastAsia="Cardo" w:hAnsi="Cardo" w:cs="Cardo"/>
              <w:color w:val="000000"/>
              <w:sz w:val="24"/>
              <w:szCs w:val="24"/>
            </w:rPr>
            <w:t xml:space="preserve"> URL http://www.eei- alex.com/eye/utw/96aug.html. ←Website</w:t>
          </w:r>
        </w:sdtContent>
      </w:sdt>
    </w:p>
    <w:p w14:paraId="0000003F" w14:textId="77777777" w:rsidR="00BA115F" w:rsidRDefault="00BA115F">
      <w:pPr>
        <w:spacing w:after="160" w:line="259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0" w14:textId="77777777" w:rsidR="00BA115F" w:rsidRDefault="00BA115F">
      <w:pPr>
        <w:spacing w:after="160" w:line="259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A115F" w:rsidSect="00A54160">
      <w:type w:val="continuous"/>
      <w:pgSz w:w="11907" w:h="16840"/>
      <w:pgMar w:top="1701" w:right="1134" w:bottom="1701" w:left="1418" w:header="720" w:footer="720" w:gutter="0"/>
      <w:pgNumType w:start="2"/>
      <w:cols w:num="2" w:space="720" w:equalWidth="0">
        <w:col w:w="4317" w:space="720"/>
        <w:col w:w="431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292A" w14:textId="77777777" w:rsidR="00554053" w:rsidRDefault="00554053">
      <w:pPr>
        <w:spacing w:after="0" w:line="240" w:lineRule="auto"/>
      </w:pPr>
      <w:r>
        <w:separator/>
      </w:r>
    </w:p>
  </w:endnote>
  <w:endnote w:type="continuationSeparator" w:id="0">
    <w:p w14:paraId="1F6769A6" w14:textId="77777777" w:rsidR="00554053" w:rsidRDefault="0055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d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BA115F" w:rsidRDefault="005540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77777777" w:rsidR="00BA115F" w:rsidRDefault="00BA115F">
    <w:pPr>
      <w:spacing w:after="0" w:line="240" w:lineRule="auto"/>
      <w:ind w:left="0"/>
      <w:jc w:val="right"/>
      <w:rPr>
        <w:sz w:val="24"/>
        <w:szCs w:val="24"/>
      </w:rPr>
    </w:pPr>
  </w:p>
  <w:p w14:paraId="00000047" w14:textId="0D33C597" w:rsidR="00BA115F" w:rsidRDefault="00554053">
    <w:pPr>
      <w:spacing w:line="240" w:lineRule="auto"/>
      <w:ind w:left="0"/>
      <w:jc w:val="right"/>
      <w:rPr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D45A2B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941C" w14:textId="77777777" w:rsidR="00554053" w:rsidRDefault="00554053">
      <w:pPr>
        <w:spacing w:after="0" w:line="240" w:lineRule="auto"/>
      </w:pPr>
      <w:r>
        <w:separator/>
      </w:r>
    </w:p>
  </w:footnote>
  <w:footnote w:type="continuationSeparator" w:id="0">
    <w:p w14:paraId="7662EED0" w14:textId="77777777" w:rsidR="00554053" w:rsidRDefault="0055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165A" w14:textId="77777777" w:rsidR="00D45A2B" w:rsidRPr="00E00FFC" w:rsidRDefault="00D45A2B">
    <w:pPr>
      <w:pBdr>
        <w:bottom w:val="single" w:sz="4" w:space="1" w:color="000000"/>
      </w:pBdr>
      <w:spacing w:after="0" w:line="240" w:lineRule="auto"/>
      <w:ind w:left="0"/>
      <w:jc w:val="right"/>
      <w:rPr>
        <w:rFonts w:ascii="Times New Roman" w:eastAsia="Times New Roman" w:hAnsi="Times New Roman" w:cs="Times New Roman"/>
        <w:b/>
        <w:bCs/>
        <w:i/>
        <w:iCs/>
        <w:sz w:val="24"/>
        <w:szCs w:val="24"/>
      </w:rPr>
    </w:pPr>
    <w:r w:rsidRPr="00E00FFC">
      <w:rPr>
        <w:rFonts w:ascii="Times New Roman" w:hAnsi="Times New Roman" w:cs="Times New Roman"/>
        <w:b/>
        <w:bCs/>
        <w:i/>
        <w:iCs/>
        <w:sz w:val="24"/>
        <w:szCs w:val="24"/>
      </w:rPr>
      <w:t>Seroja: Journal Of Scientific Research And Innovation</w:t>
    </w:r>
    <w:r w:rsidR="00554053" w:rsidRPr="00E00FFC">
      <w:rPr>
        <w:rFonts w:ascii="Times New Roman" w:eastAsia="Times New Roman" w:hAnsi="Times New Roman" w:cs="Times New Roman"/>
        <w:b/>
        <w:bCs/>
        <w:i/>
        <w:iCs/>
        <w:sz w:val="24"/>
        <w:szCs w:val="24"/>
      </w:rPr>
      <w:t>:</w:t>
    </w:r>
  </w:p>
  <w:p w14:paraId="00000041" w14:textId="4685D05F" w:rsidR="00BA115F" w:rsidRPr="00D45A2B" w:rsidRDefault="00554053">
    <w:pPr>
      <w:pBdr>
        <w:bottom w:val="single" w:sz="4" w:space="1" w:color="000000"/>
      </w:pBdr>
      <w:spacing w:after="0" w:line="240" w:lineRule="auto"/>
      <w:ind w:left="0"/>
      <w:jc w:val="right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Volume </w:t>
    </w:r>
    <w:r w:rsidR="00D45A2B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>
      <w:rPr>
        <w:rFonts w:ascii="Times New Roman" w:eastAsia="Times New Roman" w:hAnsi="Times New Roman" w:cs="Times New Roman"/>
        <w:sz w:val="24"/>
        <w:szCs w:val="24"/>
      </w:rPr>
      <w:t>, Nomor 1, Ju</w:t>
    </w:r>
    <w:proofErr w:type="spellStart"/>
    <w:r w:rsidR="00D45A2B">
      <w:rPr>
        <w:rFonts w:ascii="Times New Roman" w:eastAsia="Times New Roman" w:hAnsi="Times New Roman" w:cs="Times New Roman"/>
        <w:sz w:val="24"/>
        <w:szCs w:val="24"/>
        <w:lang w:val="en-US"/>
      </w:rPr>
      <w:t>ni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202</w:t>
    </w:r>
    <w:r w:rsidR="00D45A2B">
      <w:rPr>
        <w:rFonts w:ascii="Times New Roman" w:eastAsia="Times New Roman" w:hAnsi="Times New Roman" w:cs="Times New Roman"/>
        <w:sz w:val="24"/>
        <w:szCs w:val="24"/>
        <w:lang w:val="en-US"/>
      </w:rPr>
      <w:t xml:space="preserve">6. </w:t>
    </w:r>
    <w:r w:rsidR="00D45A2B">
      <w:rPr>
        <w:sz w:val="24"/>
        <w:szCs w:val="24"/>
      </w:rPr>
      <w:t xml:space="preserve">e-ISSN: </w:t>
    </w:r>
    <w:proofErr w:type="spellStart"/>
    <w:r w:rsidR="00D45A2B">
      <w:rPr>
        <w:sz w:val="24"/>
        <w:szCs w:val="24"/>
        <w:lang w:val="en-US"/>
      </w:rPr>
      <w:t>xxxx</w:t>
    </w:r>
    <w:proofErr w:type="spellEnd"/>
    <w:r w:rsidR="00D45A2B">
      <w:rPr>
        <w:sz w:val="24"/>
        <w:szCs w:val="24"/>
      </w:rPr>
      <w:t>-</w:t>
    </w:r>
    <w:r w:rsidR="00D45A2B">
      <w:rPr>
        <w:sz w:val="24"/>
        <w:szCs w:val="24"/>
        <w:lang w:val="en-US"/>
      </w:rPr>
      <w:t>xxx</w:t>
    </w:r>
  </w:p>
  <w:p w14:paraId="00000042" w14:textId="77777777" w:rsidR="00BA115F" w:rsidRDefault="00BA115F">
    <w:pPr>
      <w:pBdr>
        <w:bottom w:val="single" w:sz="4" w:space="1" w:color="000000"/>
      </w:pBdr>
      <w:spacing w:line="240" w:lineRule="auto"/>
      <w:ind w:left="0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FF8"/>
    <w:multiLevelType w:val="multilevel"/>
    <w:tmpl w:val="63FAE456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40C2"/>
    <w:multiLevelType w:val="multilevel"/>
    <w:tmpl w:val="0A48E8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5F"/>
    <w:rsid w:val="00397CF0"/>
    <w:rsid w:val="00554053"/>
    <w:rsid w:val="00635DB6"/>
    <w:rsid w:val="00A54160"/>
    <w:rsid w:val="00BA115F"/>
    <w:rsid w:val="00D45A2B"/>
    <w:rsid w:val="00E0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BB1C7"/>
  <w15:docId w15:val="{B6A8F403-0CA4-41B9-93A2-C5B31F11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 w:line="240" w:lineRule="auto"/>
      <w:ind w:left="720" w:hanging="72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144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2160" w:hanging="72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2880" w:hanging="72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 w:line="240" w:lineRule="auto"/>
      <w:ind w:left="3600" w:hanging="72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4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2B"/>
  </w:style>
  <w:style w:type="paragraph" w:styleId="Footer">
    <w:name w:val="footer"/>
    <w:basedOn w:val="Normal"/>
    <w:link w:val="FooterChar"/>
    <w:uiPriority w:val="99"/>
    <w:unhideWhenUsed/>
    <w:rsid w:val="00D4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2B"/>
  </w:style>
  <w:style w:type="paragraph" w:styleId="ListParagraph">
    <w:name w:val="List Paragraph"/>
    <w:basedOn w:val="Normal"/>
    <w:uiPriority w:val="34"/>
    <w:qFormat/>
    <w:rsid w:val="0039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LSpvqHYryCjYZZzWJ2/f+75fKg==">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GiQKAjEzEh4KHAgHQhgKD1RpbWVzIE5ldyBSb21hbhIFQ2FyZG8aJAoCMTQSHgocCAdCGAoPVGltZXMgTmV3IFJvbWFuEgVDYXJkbxokCgIxNRIeChwIB0IYCg9UaW1lcyBOZXcgUm9tYW4SBUNhcmRvOAByITFDZ2k4MUc1VXhqNjd6ZkRsdjd6Z1lNNHQzbVd4Z2JE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787F7F-EFEB-4353-84ED-06D1E29E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2026-06-11T14:59:00Z</dcterms:created>
  <dcterms:modified xsi:type="dcterms:W3CDTF">2026-06-11T15:26:00Z</dcterms:modified>
</cp:coreProperties>
</file>